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000001" w14:textId="77777777" w:rsidR="00541E3B" w:rsidRDefault="006F263A">
      <w:pPr>
        <w:spacing w:line="276" w:lineRule="auto"/>
        <w:jc w:val="center"/>
        <w:rPr>
          <w:b/>
          <w:color w:val="0000B4"/>
          <w:sz w:val="40"/>
          <w:szCs w:val="40"/>
        </w:rPr>
      </w:pPr>
      <w:r>
        <w:rPr>
          <w:b/>
          <w:color w:val="0000B4"/>
          <w:sz w:val="40"/>
          <w:szCs w:val="40"/>
        </w:rPr>
        <w:t>La formación, clave para afrontar el cambio de normativa de los planes de pensiones</w:t>
      </w:r>
    </w:p>
    <w:p w14:paraId="00000002" w14:textId="77777777" w:rsidR="00541E3B" w:rsidRDefault="00541E3B">
      <w:pPr>
        <w:spacing w:line="276" w:lineRule="auto"/>
        <w:jc w:val="both"/>
        <w:rPr>
          <w:b/>
          <w:sz w:val="22"/>
          <w:szCs w:val="22"/>
        </w:rPr>
      </w:pPr>
    </w:p>
    <w:p w14:paraId="00000003" w14:textId="77777777" w:rsidR="00541E3B" w:rsidRDefault="006F263A" w:rsidP="006456A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jc w:val="both"/>
        <w:rPr>
          <w:color w:val="000000"/>
        </w:rPr>
      </w:pPr>
      <w:r>
        <w:rPr>
          <w:b/>
          <w:sz w:val="22"/>
          <w:szCs w:val="22"/>
        </w:rPr>
        <w:t>CECAS, advierte que los cambios normativos fomentarán la adquisición de otros productos de ahorro e inversión</w:t>
      </w:r>
    </w:p>
    <w:p w14:paraId="00000004" w14:textId="77777777" w:rsidR="00541E3B" w:rsidRDefault="00541E3B">
      <w:pPr>
        <w:spacing w:line="276" w:lineRule="auto"/>
        <w:jc w:val="both"/>
        <w:rPr>
          <w:sz w:val="22"/>
          <w:szCs w:val="22"/>
        </w:rPr>
      </w:pPr>
    </w:p>
    <w:p w14:paraId="00000005" w14:textId="186A1216" w:rsidR="00541E3B" w:rsidRDefault="005B13E2">
      <w:pPr>
        <w:shd w:val="clear" w:color="auto" w:fill="FFFFFF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22</w:t>
      </w:r>
      <w:r w:rsidR="006F263A">
        <w:rPr>
          <w:b/>
          <w:sz w:val="22"/>
          <w:szCs w:val="22"/>
        </w:rPr>
        <w:t xml:space="preserve">/01/2021-. </w:t>
      </w:r>
      <w:r w:rsidR="006F263A">
        <w:rPr>
          <w:sz w:val="22"/>
          <w:szCs w:val="22"/>
        </w:rPr>
        <w:t>CECAS, Escuela de Negocios de Seguros referente a nivel nacional</w:t>
      </w:r>
      <w:r w:rsidR="006F263A">
        <w:rPr>
          <w:i/>
          <w:sz w:val="22"/>
          <w:szCs w:val="22"/>
        </w:rPr>
        <w:t xml:space="preserve">, </w:t>
      </w:r>
      <w:r w:rsidR="006F263A">
        <w:rPr>
          <w:sz w:val="22"/>
          <w:szCs w:val="22"/>
        </w:rPr>
        <w:t xml:space="preserve">advierte que los cambios en la normativa de regulación fiscal en los planes de pensiones, fomentarán la adquisición de otros productos de ahorro e inversión. Esta situación provocará un aumento en la necesidad de asesoramiento y formación tanto de los clientes como de los mediadores. </w:t>
      </w:r>
    </w:p>
    <w:p w14:paraId="00000006" w14:textId="77777777" w:rsidR="00541E3B" w:rsidRDefault="00541E3B">
      <w:pPr>
        <w:shd w:val="clear" w:color="auto" w:fill="FFFFFF"/>
        <w:spacing w:line="276" w:lineRule="auto"/>
        <w:jc w:val="both"/>
        <w:rPr>
          <w:sz w:val="22"/>
          <w:szCs w:val="22"/>
        </w:rPr>
      </w:pPr>
    </w:p>
    <w:p w14:paraId="00000007" w14:textId="77777777" w:rsidR="00541E3B" w:rsidRDefault="006F263A">
      <w:pPr>
        <w:shd w:val="clear" w:color="auto" w:fill="FFFFFF"/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Cambios en la normativa</w:t>
      </w:r>
    </w:p>
    <w:p w14:paraId="00000008" w14:textId="77777777" w:rsidR="00541E3B" w:rsidRDefault="006F263A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El pasado 1 de enero entró en vigor la Ley 11/2020. de 30 de diciembre, de Presupuestos Generales del Estado para el año 2021, en los que se contempla una reducción del importe máximo de desgravación en los planes de pensiones individuales, pasando de 8.000 € a 2.000€. </w:t>
      </w:r>
    </w:p>
    <w:p w14:paraId="00000009" w14:textId="77777777" w:rsidR="00541E3B" w:rsidRDefault="00541E3B">
      <w:pPr>
        <w:spacing w:line="276" w:lineRule="auto"/>
        <w:jc w:val="both"/>
        <w:rPr>
          <w:sz w:val="22"/>
          <w:szCs w:val="22"/>
        </w:rPr>
      </w:pPr>
    </w:p>
    <w:p w14:paraId="0000000A" w14:textId="77777777" w:rsidR="00541E3B" w:rsidRDefault="006F263A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La Asociación de Instituciones de Inversión Colectiva y Fondos de Pensiones (INVERCO) por su parte, asegura que se verán afectados más de 7,5 millones de españoles que cuentan con planes de pensiones individuales y casi un millón más de miembros de los Planes de Previsión Asegurados (PPA). </w:t>
      </w:r>
    </w:p>
    <w:p w14:paraId="0000000B" w14:textId="77777777" w:rsidR="00541E3B" w:rsidRDefault="00541E3B">
      <w:pPr>
        <w:spacing w:line="276" w:lineRule="auto"/>
        <w:jc w:val="both"/>
        <w:rPr>
          <w:b/>
          <w:sz w:val="22"/>
          <w:szCs w:val="22"/>
        </w:rPr>
      </w:pPr>
    </w:p>
    <w:p w14:paraId="0000000C" w14:textId="77777777" w:rsidR="00541E3B" w:rsidRDefault="006F263A">
      <w:pPr>
        <w:shd w:val="clear" w:color="auto" w:fill="FFFFFF"/>
        <w:spacing w:before="120" w:after="12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Estas cifras indican que muchas personas que, actualmente, están aportando más de 2.000€ anuales a su plan de pensiones, buscarán alternativas para ahorrar o invertir su dinero, que ofrecen mejores ventajas fiscales. Desde CECAS apuntan que los principales productos en los que se destinará dicha aportación son los planes de individuales de ahorro sistemático o PIAS -un seguro de vida que permite un ahorro a largo plazo-</w:t>
      </w:r>
      <w:r>
        <w:rPr>
          <w:sz w:val="22"/>
          <w:szCs w:val="22"/>
          <w:highlight w:val="white"/>
        </w:rPr>
        <w:t xml:space="preserve">, </w:t>
      </w:r>
      <w:r>
        <w:rPr>
          <w:sz w:val="22"/>
          <w:szCs w:val="22"/>
        </w:rPr>
        <w:t xml:space="preserve">SIALP, seguros individuales de ahorro a largo plazo, los </w:t>
      </w:r>
      <w:proofErr w:type="spellStart"/>
      <w:r>
        <w:rPr>
          <w:sz w:val="22"/>
          <w:szCs w:val="22"/>
        </w:rPr>
        <w:t>unit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linked</w:t>
      </w:r>
      <w:proofErr w:type="spellEnd"/>
      <w:r>
        <w:rPr>
          <w:sz w:val="22"/>
          <w:szCs w:val="22"/>
        </w:rPr>
        <w:t xml:space="preserve"> -producto que aúna las ventajas de un seguro de vida y un fondo de inversión-, y los fondos de inversión.</w:t>
      </w:r>
    </w:p>
    <w:p w14:paraId="0000000D" w14:textId="77777777" w:rsidR="00541E3B" w:rsidRDefault="00541E3B">
      <w:pPr>
        <w:shd w:val="clear" w:color="auto" w:fill="FFFFFF"/>
        <w:spacing w:after="120" w:line="276" w:lineRule="auto"/>
        <w:jc w:val="both"/>
        <w:rPr>
          <w:sz w:val="22"/>
          <w:szCs w:val="22"/>
        </w:rPr>
      </w:pPr>
    </w:p>
    <w:p w14:paraId="0000000E" w14:textId="77777777" w:rsidR="00541E3B" w:rsidRDefault="006F263A">
      <w:pPr>
        <w:shd w:val="clear" w:color="auto" w:fill="FFFFFF"/>
        <w:spacing w:after="120"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Necesidad de formación</w:t>
      </w:r>
    </w:p>
    <w:p w14:paraId="0000000F" w14:textId="77777777" w:rsidR="00541E3B" w:rsidRDefault="006F263A">
      <w:pPr>
        <w:shd w:val="clear" w:color="auto" w:fill="FFFFFF"/>
        <w:spacing w:after="12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La figura del mediador será clave para asesorar a cada cliente y, según sus necesidades, recomendarle un producto u otro. Para ello, CECAS ofrece una propuesta formativa completa y actualizada sobre la interpretación de la información financiera vinculada a los planes de pensiones. </w:t>
      </w:r>
    </w:p>
    <w:p w14:paraId="00000010" w14:textId="77777777" w:rsidR="00541E3B" w:rsidRDefault="006F263A">
      <w:pPr>
        <w:shd w:val="clear" w:color="auto" w:fill="FFFFFF"/>
        <w:spacing w:after="12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El </w:t>
      </w:r>
      <w:proofErr w:type="spellStart"/>
      <w:r>
        <w:rPr>
          <w:sz w:val="22"/>
          <w:szCs w:val="22"/>
        </w:rPr>
        <w:t>webinar</w:t>
      </w:r>
      <w:proofErr w:type="spellEnd"/>
      <w:r>
        <w:rPr>
          <w:sz w:val="22"/>
          <w:szCs w:val="22"/>
        </w:rPr>
        <w:t xml:space="preserve"> “</w:t>
      </w:r>
      <w:r>
        <w:rPr>
          <w:b/>
          <w:color w:val="1130B4"/>
          <w:sz w:val="22"/>
          <w:szCs w:val="22"/>
        </w:rPr>
        <w:t>Cómo interpretar la información financiera de los planes pensiones</w:t>
      </w:r>
      <w:r>
        <w:rPr>
          <w:sz w:val="22"/>
          <w:szCs w:val="22"/>
        </w:rPr>
        <w:t>”, impartido a través de su plataforma de e-</w:t>
      </w:r>
      <w:proofErr w:type="spellStart"/>
      <w:r>
        <w:rPr>
          <w:sz w:val="22"/>
          <w:szCs w:val="22"/>
        </w:rPr>
        <w:t>learning</w:t>
      </w:r>
      <w:proofErr w:type="spellEnd"/>
      <w:r>
        <w:rPr>
          <w:sz w:val="22"/>
          <w:szCs w:val="22"/>
        </w:rPr>
        <w:t xml:space="preserve"> donde enseñan a los participantes los conocimientos básicos que intervienen en la valoración financiera y la valoración actuarial de los planes de pensiones. </w:t>
      </w:r>
    </w:p>
    <w:p w14:paraId="00000011" w14:textId="77777777" w:rsidR="00541E3B" w:rsidRDefault="00541E3B">
      <w:pPr>
        <w:shd w:val="clear" w:color="auto" w:fill="FFFFFF"/>
        <w:spacing w:after="120" w:line="276" w:lineRule="auto"/>
        <w:jc w:val="both"/>
        <w:rPr>
          <w:sz w:val="22"/>
          <w:szCs w:val="22"/>
        </w:rPr>
      </w:pPr>
    </w:p>
    <w:p w14:paraId="00000012" w14:textId="77777777" w:rsidR="00541E3B" w:rsidRDefault="00541E3B">
      <w:pPr>
        <w:shd w:val="clear" w:color="auto" w:fill="FFFFFF"/>
        <w:spacing w:after="120" w:line="276" w:lineRule="auto"/>
        <w:jc w:val="both"/>
        <w:rPr>
          <w:sz w:val="22"/>
          <w:szCs w:val="22"/>
        </w:rPr>
      </w:pPr>
    </w:p>
    <w:p w14:paraId="00000013" w14:textId="77777777" w:rsidR="00541E3B" w:rsidRDefault="00541E3B">
      <w:pPr>
        <w:shd w:val="clear" w:color="auto" w:fill="FFFFFF"/>
        <w:spacing w:after="160" w:line="276" w:lineRule="auto"/>
        <w:jc w:val="both"/>
        <w:rPr>
          <w:b/>
          <w:sz w:val="20"/>
          <w:szCs w:val="20"/>
        </w:rPr>
      </w:pPr>
    </w:p>
    <w:p w14:paraId="00000014" w14:textId="77777777" w:rsidR="00541E3B" w:rsidRDefault="006F263A">
      <w:pPr>
        <w:shd w:val="clear" w:color="auto" w:fill="FFFFFF"/>
        <w:spacing w:after="160" w:line="276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Sobre CECAS</w:t>
      </w:r>
    </w:p>
    <w:p w14:paraId="00000015" w14:textId="77777777" w:rsidR="00541E3B" w:rsidRDefault="006F263A">
      <w:pPr>
        <w:shd w:val="clear" w:color="auto" w:fill="FFFFFF"/>
        <w:spacing w:after="160" w:line="276" w:lineRule="auto"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>CECAS es la Escuela de Negocios de Seguros referente a nivel nacional. Creada en 1974 por el Consejo General de Colegios de Mediadores, ha formado a más de 150.000 alumnos.</w:t>
      </w:r>
    </w:p>
    <w:p w14:paraId="00000016" w14:textId="77777777" w:rsidR="00541E3B" w:rsidRDefault="006F263A">
      <w:pPr>
        <w:shd w:val="clear" w:color="auto" w:fill="FFFFFF"/>
        <w:spacing w:after="160" w:line="276" w:lineRule="auto"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>Su oferta formativa, presencial y online, abarca desde cursos de posgrado a programas básicos de acceso a la profesión aseguradora.</w:t>
      </w:r>
    </w:p>
    <w:p w14:paraId="00000017" w14:textId="77777777" w:rsidR="00541E3B" w:rsidRDefault="006F263A">
      <w:pPr>
        <w:spacing w:after="160" w:line="276" w:lineRule="auto"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>Además de sus sedes en Barcelona y Madrid, imparte formación en 46 colegios de mediadores repartidos por toda España y en varios países de Iberoamérica.</w:t>
      </w:r>
    </w:p>
    <w:p w14:paraId="00000018" w14:textId="77777777" w:rsidR="00541E3B" w:rsidRDefault="00541E3B">
      <w:pPr>
        <w:spacing w:after="160" w:line="276" w:lineRule="auto"/>
        <w:jc w:val="both"/>
        <w:rPr>
          <w:sz w:val="22"/>
          <w:szCs w:val="22"/>
        </w:rPr>
      </w:pPr>
    </w:p>
    <w:p w14:paraId="00000019" w14:textId="77777777" w:rsidR="00541E3B" w:rsidRDefault="006F263A">
      <w:pPr>
        <w:spacing w:after="160"/>
        <w:jc w:val="both"/>
        <w:rPr>
          <w:sz w:val="22"/>
          <w:szCs w:val="22"/>
        </w:rPr>
      </w:pPr>
      <w:r>
        <w:rPr>
          <w:sz w:val="22"/>
          <w:szCs w:val="22"/>
        </w:rPr>
        <w:t> </w:t>
      </w:r>
    </w:p>
    <w:p w14:paraId="0000001A" w14:textId="77777777" w:rsidR="00541E3B" w:rsidRDefault="006F263A">
      <w:pPr>
        <w:spacing w:after="160" w:line="259" w:lineRule="auto"/>
        <w:jc w:val="center"/>
        <w:rPr>
          <w:b/>
          <w:i/>
          <w:sz w:val="22"/>
          <w:szCs w:val="22"/>
          <w:u w:val="single"/>
        </w:rPr>
      </w:pPr>
      <w:r>
        <w:rPr>
          <w:b/>
          <w:i/>
          <w:sz w:val="22"/>
          <w:szCs w:val="22"/>
          <w:u w:val="single"/>
        </w:rPr>
        <w:t>Contacto Prensa</w:t>
      </w:r>
    </w:p>
    <w:p w14:paraId="0000001B" w14:textId="77777777" w:rsidR="00541E3B" w:rsidRDefault="00541E3B">
      <w:pPr>
        <w:spacing w:after="160" w:line="259" w:lineRule="auto"/>
        <w:jc w:val="center"/>
        <w:rPr>
          <w:b/>
          <w:i/>
          <w:sz w:val="22"/>
          <w:szCs w:val="22"/>
          <w:u w:val="single"/>
        </w:rPr>
      </w:pPr>
    </w:p>
    <w:p w14:paraId="0000001C" w14:textId="77777777" w:rsidR="00541E3B" w:rsidRDefault="006F263A">
      <w:pPr>
        <w:spacing w:after="160" w:line="259" w:lineRule="auto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 xml:space="preserve">MODO </w:t>
      </w:r>
      <w:r>
        <w:rPr>
          <w:b/>
          <w:sz w:val="22"/>
          <w:szCs w:val="22"/>
          <w:u w:val="single"/>
        </w:rPr>
        <w:tab/>
      </w:r>
      <w:r>
        <w:rPr>
          <w:b/>
          <w:i/>
          <w:sz w:val="22"/>
          <w:szCs w:val="22"/>
          <w:u w:val="single"/>
        </w:rPr>
        <w:tab/>
      </w:r>
      <w:r>
        <w:rPr>
          <w:b/>
          <w:i/>
          <w:sz w:val="22"/>
          <w:szCs w:val="22"/>
          <w:u w:val="single"/>
        </w:rPr>
        <w:tab/>
      </w:r>
      <w:r>
        <w:rPr>
          <w:b/>
          <w:i/>
          <w:sz w:val="22"/>
          <w:szCs w:val="22"/>
          <w:u w:val="single"/>
        </w:rPr>
        <w:tab/>
      </w:r>
      <w:r>
        <w:rPr>
          <w:b/>
          <w:i/>
          <w:sz w:val="22"/>
          <w:szCs w:val="22"/>
          <w:u w:val="single"/>
        </w:rPr>
        <w:tab/>
      </w:r>
      <w:r>
        <w:rPr>
          <w:b/>
          <w:i/>
          <w:sz w:val="22"/>
          <w:szCs w:val="22"/>
          <w:u w:val="single"/>
        </w:rPr>
        <w:tab/>
      </w:r>
      <w:r>
        <w:rPr>
          <w:b/>
          <w:i/>
          <w:sz w:val="22"/>
          <w:szCs w:val="22"/>
          <w:u w:val="single"/>
        </w:rPr>
        <w:tab/>
      </w:r>
      <w:r>
        <w:rPr>
          <w:b/>
          <w:i/>
          <w:sz w:val="22"/>
          <w:szCs w:val="22"/>
          <w:u w:val="single"/>
        </w:rPr>
        <w:tab/>
      </w:r>
      <w:r>
        <w:rPr>
          <w:b/>
          <w:i/>
          <w:sz w:val="22"/>
          <w:szCs w:val="22"/>
          <w:u w:val="single"/>
        </w:rPr>
        <w:tab/>
      </w:r>
      <w:r>
        <w:rPr>
          <w:b/>
          <w:i/>
          <w:sz w:val="22"/>
          <w:szCs w:val="22"/>
        </w:rPr>
        <w:t xml:space="preserve">         </w:t>
      </w:r>
      <w:r>
        <w:rPr>
          <w:b/>
          <w:sz w:val="22"/>
          <w:szCs w:val="22"/>
          <w:u w:val="single"/>
        </w:rPr>
        <w:t>Consejo General</w:t>
      </w:r>
    </w:p>
    <w:p w14:paraId="0000001D" w14:textId="77777777" w:rsidR="00541E3B" w:rsidRDefault="006F263A">
      <w:pPr>
        <w:spacing w:after="160" w:line="259" w:lineRule="auto"/>
        <w:rPr>
          <w:sz w:val="22"/>
          <w:szCs w:val="22"/>
        </w:rPr>
      </w:pPr>
      <w:r>
        <w:rPr>
          <w:sz w:val="22"/>
          <w:szCs w:val="22"/>
          <w:u w:val="single"/>
        </w:rPr>
        <w:t>Catalina Gil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</w:t>
      </w:r>
      <w:r>
        <w:rPr>
          <w:sz w:val="22"/>
          <w:szCs w:val="22"/>
          <w:u w:val="single"/>
        </w:rPr>
        <w:t xml:space="preserve">Ana Gómez </w:t>
      </w:r>
      <w:r>
        <w:rPr>
          <w:b/>
          <w:i/>
          <w:sz w:val="22"/>
          <w:szCs w:val="22"/>
        </w:rPr>
        <w:t xml:space="preserve">   </w:t>
      </w:r>
    </w:p>
    <w:p w14:paraId="0000001E" w14:textId="77777777" w:rsidR="00541E3B" w:rsidRDefault="009A0D28">
      <w:pPr>
        <w:spacing w:after="160" w:line="259" w:lineRule="auto"/>
        <w:rPr>
          <w:sz w:val="22"/>
          <w:szCs w:val="22"/>
        </w:rPr>
      </w:pPr>
      <w:hyperlink r:id="rId6">
        <w:r w:rsidR="006F263A">
          <w:rPr>
            <w:color w:val="1155CC"/>
            <w:sz w:val="22"/>
            <w:szCs w:val="22"/>
            <w:u w:val="single"/>
          </w:rPr>
          <w:t>cgil@modoinaction.com</w:t>
        </w:r>
      </w:hyperlink>
      <w:r w:rsidR="006F263A">
        <w:rPr>
          <w:b/>
          <w:i/>
          <w:sz w:val="22"/>
          <w:szCs w:val="22"/>
          <w:u w:val="single"/>
        </w:rPr>
        <w:tab/>
      </w:r>
      <w:r w:rsidR="006F263A">
        <w:rPr>
          <w:b/>
          <w:i/>
          <w:sz w:val="22"/>
          <w:szCs w:val="22"/>
          <w:u w:val="single"/>
        </w:rPr>
        <w:tab/>
      </w:r>
      <w:r w:rsidR="006F263A">
        <w:rPr>
          <w:b/>
          <w:i/>
          <w:sz w:val="22"/>
          <w:szCs w:val="22"/>
          <w:u w:val="single"/>
        </w:rPr>
        <w:tab/>
      </w:r>
      <w:r w:rsidR="006F263A">
        <w:rPr>
          <w:b/>
          <w:i/>
          <w:sz w:val="22"/>
          <w:szCs w:val="22"/>
          <w:u w:val="single"/>
        </w:rPr>
        <w:tab/>
      </w:r>
      <w:r w:rsidR="006F263A">
        <w:rPr>
          <w:b/>
          <w:i/>
          <w:sz w:val="22"/>
          <w:szCs w:val="22"/>
        </w:rPr>
        <w:t xml:space="preserve">         </w:t>
      </w:r>
      <w:r w:rsidR="006F263A">
        <w:rPr>
          <w:sz w:val="22"/>
          <w:szCs w:val="22"/>
        </w:rPr>
        <w:t>ana.gomez@modoinaction.com</w:t>
      </w:r>
    </w:p>
    <w:p w14:paraId="0000001F" w14:textId="77777777" w:rsidR="00541E3B" w:rsidRDefault="006F263A">
      <w:pPr>
        <w:spacing w:after="160" w:line="259" w:lineRule="auto"/>
        <w:rPr>
          <w:sz w:val="22"/>
          <w:szCs w:val="22"/>
        </w:rPr>
      </w:pPr>
      <w:r>
        <w:rPr>
          <w:sz w:val="22"/>
          <w:szCs w:val="22"/>
          <w:u w:val="single"/>
        </w:rPr>
        <w:t>Rebeca López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Tel. +34 91 562 27 03</w:t>
      </w:r>
    </w:p>
    <w:p w14:paraId="00000020" w14:textId="77777777" w:rsidR="00541E3B" w:rsidRDefault="009A0D28">
      <w:pPr>
        <w:spacing w:after="160" w:line="259" w:lineRule="auto"/>
        <w:rPr>
          <w:b/>
          <w:i/>
          <w:sz w:val="22"/>
          <w:szCs w:val="22"/>
          <w:u w:val="single"/>
        </w:rPr>
      </w:pPr>
      <w:hyperlink r:id="rId7">
        <w:r w:rsidR="006F263A">
          <w:rPr>
            <w:color w:val="1155CC"/>
            <w:sz w:val="22"/>
            <w:szCs w:val="22"/>
            <w:u w:val="single"/>
          </w:rPr>
          <w:t>rlopez@modoinaction.com</w:t>
        </w:r>
      </w:hyperlink>
      <w:r w:rsidR="006F263A">
        <w:rPr>
          <w:b/>
          <w:sz w:val="22"/>
          <w:szCs w:val="22"/>
          <w:u w:val="single"/>
        </w:rPr>
        <w:t xml:space="preserve"> </w:t>
      </w:r>
      <w:r w:rsidR="006F263A">
        <w:rPr>
          <w:b/>
          <w:sz w:val="22"/>
          <w:szCs w:val="22"/>
          <w:u w:val="single"/>
        </w:rPr>
        <w:tab/>
      </w:r>
      <w:r w:rsidR="006F263A">
        <w:rPr>
          <w:b/>
          <w:i/>
          <w:sz w:val="22"/>
          <w:szCs w:val="22"/>
          <w:u w:val="single"/>
        </w:rPr>
        <w:tab/>
      </w:r>
      <w:r w:rsidR="006F263A">
        <w:rPr>
          <w:b/>
          <w:i/>
          <w:sz w:val="22"/>
          <w:szCs w:val="22"/>
          <w:u w:val="single"/>
        </w:rPr>
        <w:tab/>
      </w:r>
      <w:r w:rsidR="006F263A">
        <w:rPr>
          <w:b/>
          <w:i/>
          <w:sz w:val="22"/>
          <w:szCs w:val="22"/>
          <w:u w:val="single"/>
        </w:rPr>
        <w:tab/>
      </w:r>
      <w:r w:rsidR="006F263A">
        <w:rPr>
          <w:b/>
          <w:i/>
          <w:sz w:val="22"/>
          <w:szCs w:val="22"/>
          <w:u w:val="single"/>
        </w:rPr>
        <w:tab/>
      </w:r>
      <w:r w:rsidR="006F263A">
        <w:rPr>
          <w:b/>
          <w:i/>
          <w:sz w:val="22"/>
          <w:szCs w:val="22"/>
          <w:u w:val="single"/>
        </w:rPr>
        <w:tab/>
      </w:r>
      <w:r w:rsidR="006F263A">
        <w:rPr>
          <w:b/>
          <w:i/>
          <w:sz w:val="22"/>
          <w:szCs w:val="22"/>
        </w:rPr>
        <w:t xml:space="preserve">          </w:t>
      </w:r>
      <w:hyperlink r:id="rId8">
        <w:r w:rsidR="006F263A">
          <w:rPr>
            <w:color w:val="0563C1"/>
            <w:sz w:val="22"/>
            <w:szCs w:val="22"/>
            <w:u w:val="single"/>
          </w:rPr>
          <w:t>mediadores.info</w:t>
        </w:r>
      </w:hyperlink>
    </w:p>
    <w:p w14:paraId="00000021" w14:textId="77777777" w:rsidR="00541E3B" w:rsidRDefault="006F263A">
      <w:pPr>
        <w:spacing w:after="160" w:line="259" w:lineRule="auto"/>
        <w:rPr>
          <w:sz w:val="22"/>
          <w:szCs w:val="22"/>
        </w:rPr>
      </w:pPr>
      <w:r>
        <w:rPr>
          <w:sz w:val="22"/>
          <w:szCs w:val="22"/>
        </w:rPr>
        <w:t>Tel. +34 93 139 53 47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</w:t>
      </w:r>
    </w:p>
    <w:p w14:paraId="00000022" w14:textId="77777777" w:rsidR="00541E3B" w:rsidRDefault="00541E3B">
      <w:pPr>
        <w:shd w:val="clear" w:color="auto" w:fill="FFFFFF"/>
        <w:spacing w:before="120" w:after="120" w:line="276" w:lineRule="auto"/>
        <w:jc w:val="both"/>
        <w:rPr>
          <w:sz w:val="22"/>
          <w:szCs w:val="22"/>
        </w:rPr>
      </w:pPr>
    </w:p>
    <w:p w14:paraId="00000023" w14:textId="77777777" w:rsidR="00541E3B" w:rsidRDefault="00541E3B"/>
    <w:p w14:paraId="00000024" w14:textId="77777777" w:rsidR="00541E3B" w:rsidRDefault="00541E3B">
      <w:pPr>
        <w:spacing w:line="276" w:lineRule="auto"/>
        <w:jc w:val="both"/>
        <w:rPr>
          <w:rFonts w:ascii="Times" w:eastAsia="Times" w:hAnsi="Times" w:cs="Times"/>
        </w:rPr>
      </w:pPr>
    </w:p>
    <w:sectPr w:rsidR="00541E3B">
      <w:pgSz w:w="11900" w:h="16840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">
    <w:altName w:val="﷽﷽﷽﷽﷽﷽﷽﷽翿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F657DE2"/>
    <w:multiLevelType w:val="multilevel"/>
    <w:tmpl w:val="3EC204A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1E3B"/>
    <w:rsid w:val="00541E3B"/>
    <w:rsid w:val="005B13E2"/>
    <w:rsid w:val="006456AF"/>
    <w:rsid w:val="006F263A"/>
    <w:rsid w:val="009A0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0B09C1F"/>
  <w15:docId w15:val="{61D7980F-A54F-204D-93A9-73EB781F8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4"/>
        <w:szCs w:val="24"/>
        <w:lang w:val="es-ES" w:eastAsia="es-ES_trad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Refdecomentario">
    <w:name w:val="annotation reference"/>
    <w:basedOn w:val="Fuentedeprrafopredeter"/>
    <w:uiPriority w:val="99"/>
    <w:semiHidden/>
    <w:unhideWhenUsed/>
    <w:rsid w:val="00D47F16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47F16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47F16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47F1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47F1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diadores.info/" TargetMode="External"/><Relationship Id="rId3" Type="http://schemas.openxmlformats.org/officeDocument/2006/relationships/styles" Target="styles.xml"/><Relationship Id="rId7" Type="http://schemas.openxmlformats.org/officeDocument/2006/relationships/hyperlink" Target="mailto:rlopez@modoinaction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cgil@modoinaction.com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UUtg+iT16V9+GRTX7BvfkBeCFVw==">AMUW2mVdaHB94NXN8G8+VM+01peBT5r6iDyNJSjHiRD586pVgusgL+zJ66B3eU4zjaR3uv9vH8C1wXl++BNTqE+IeeA8Xr0mYBACJBxuLje0EoJ8NNY3Dsw=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501</Words>
  <Characters>2758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 MORALES</dc:creator>
  <cp:lastModifiedBy>Microsoft Office User</cp:lastModifiedBy>
  <cp:revision>3</cp:revision>
  <dcterms:created xsi:type="dcterms:W3CDTF">2021-01-22T08:23:00Z</dcterms:created>
  <dcterms:modified xsi:type="dcterms:W3CDTF">2021-01-22T09:10:00Z</dcterms:modified>
</cp:coreProperties>
</file>