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A75D5" w14:textId="77777777" w:rsidR="00DF561D" w:rsidRDefault="00797EBF">
      <w:pPr>
        <w:spacing w:line="240" w:lineRule="auto"/>
        <w:rPr>
          <w:rFonts w:ascii="Calibri" w:eastAsia="Calibri" w:hAnsi="Calibri" w:cs="Calibri"/>
          <w:color w:val="262626"/>
          <w:sz w:val="26"/>
          <w:szCs w:val="26"/>
        </w:rPr>
      </w:pPr>
      <w:r>
        <w:rPr>
          <w:rFonts w:ascii="Calibri" w:eastAsia="Calibri" w:hAnsi="Calibri" w:cs="Calibri"/>
          <w:color w:val="262626"/>
          <w:sz w:val="26"/>
          <w:szCs w:val="26"/>
        </w:rPr>
        <w:t xml:space="preserve">Análisis del Real Decreto </w:t>
      </w:r>
    </w:p>
    <w:p w14:paraId="55973AFA" w14:textId="77777777" w:rsidR="00DF561D" w:rsidRDefault="00DF561D">
      <w:pPr>
        <w:spacing w:line="240" w:lineRule="auto"/>
        <w:rPr>
          <w:rFonts w:ascii="Calibri" w:eastAsia="Calibri" w:hAnsi="Calibri" w:cs="Calibri"/>
          <w:b/>
          <w:color w:val="0000B4"/>
          <w:sz w:val="36"/>
          <w:szCs w:val="36"/>
        </w:rPr>
      </w:pPr>
    </w:p>
    <w:p w14:paraId="25BE776B" w14:textId="77777777" w:rsidR="00DF561D" w:rsidRDefault="00797EBF">
      <w:pPr>
        <w:spacing w:line="240" w:lineRule="auto"/>
        <w:rPr>
          <w:rFonts w:ascii="Calibri" w:eastAsia="Calibri" w:hAnsi="Calibri" w:cs="Calibri"/>
          <w:b/>
          <w:color w:val="0000B4"/>
          <w:sz w:val="36"/>
          <w:szCs w:val="36"/>
        </w:rPr>
      </w:pPr>
      <w:r>
        <w:rPr>
          <w:rFonts w:ascii="Calibri" w:eastAsia="Calibri" w:hAnsi="Calibri" w:cs="Calibri"/>
          <w:b/>
          <w:color w:val="0000B4"/>
          <w:sz w:val="36"/>
          <w:szCs w:val="36"/>
        </w:rPr>
        <w:t xml:space="preserve">El Gobierno reduce un 40% la exigencia formativa de los mediadores mientras exige más protección a los derechos del cliente </w:t>
      </w:r>
    </w:p>
    <w:p w14:paraId="16F7FB3F" w14:textId="77777777" w:rsidR="00DF561D" w:rsidRDefault="00DF561D">
      <w:pPr>
        <w:pBdr>
          <w:top w:val="nil"/>
          <w:left w:val="nil"/>
          <w:bottom w:val="nil"/>
          <w:right w:val="nil"/>
          <w:between w:val="nil"/>
        </w:pBdr>
        <w:spacing w:line="240" w:lineRule="auto"/>
        <w:ind w:left="567"/>
        <w:rPr>
          <w:rFonts w:ascii="Calibri" w:eastAsia="Calibri" w:hAnsi="Calibri" w:cs="Calibri"/>
          <w:color w:val="262626"/>
          <w:sz w:val="26"/>
          <w:szCs w:val="26"/>
        </w:rPr>
      </w:pPr>
    </w:p>
    <w:p w14:paraId="426E5C47" w14:textId="77777777" w:rsidR="00DF561D" w:rsidRDefault="00797EBF">
      <w:pPr>
        <w:numPr>
          <w:ilvl w:val="0"/>
          <w:numId w:val="2"/>
        </w:numPr>
        <w:pBdr>
          <w:top w:val="nil"/>
          <w:left w:val="nil"/>
          <w:bottom w:val="nil"/>
          <w:right w:val="nil"/>
          <w:between w:val="nil"/>
        </w:pBdr>
        <w:spacing w:line="240" w:lineRule="auto"/>
        <w:ind w:left="567" w:hanging="283"/>
        <w:rPr>
          <w:rFonts w:ascii="Calibri" w:eastAsia="Calibri" w:hAnsi="Calibri" w:cs="Calibri"/>
          <w:color w:val="262626"/>
          <w:sz w:val="26"/>
          <w:szCs w:val="26"/>
        </w:rPr>
      </w:pPr>
      <w:r>
        <w:rPr>
          <w:rFonts w:ascii="Calibri" w:eastAsia="Calibri" w:hAnsi="Calibri" w:cs="Calibri"/>
          <w:color w:val="262626"/>
          <w:sz w:val="26"/>
          <w:szCs w:val="26"/>
        </w:rPr>
        <w:t>Se trata de una decisión del legislador que no es un requisito de la Directiva Europea ni exigía el mercado español</w:t>
      </w:r>
    </w:p>
    <w:p w14:paraId="1ED6F912" w14:textId="77777777" w:rsidR="00DF561D" w:rsidRDefault="00DF561D">
      <w:pPr>
        <w:pBdr>
          <w:top w:val="nil"/>
          <w:left w:val="nil"/>
          <w:bottom w:val="nil"/>
          <w:right w:val="nil"/>
          <w:between w:val="nil"/>
        </w:pBdr>
        <w:spacing w:line="240" w:lineRule="auto"/>
        <w:ind w:left="1440"/>
        <w:rPr>
          <w:rFonts w:ascii="Calibri" w:eastAsia="Calibri" w:hAnsi="Calibri" w:cs="Calibri"/>
          <w:color w:val="262626"/>
          <w:sz w:val="26"/>
          <w:szCs w:val="26"/>
        </w:rPr>
      </w:pPr>
    </w:p>
    <w:p w14:paraId="381DE2E2" w14:textId="77777777" w:rsidR="00DF561D" w:rsidRDefault="00797EBF">
      <w:pPr>
        <w:numPr>
          <w:ilvl w:val="0"/>
          <w:numId w:val="2"/>
        </w:numPr>
        <w:pBdr>
          <w:top w:val="nil"/>
          <w:left w:val="nil"/>
          <w:bottom w:val="nil"/>
          <w:right w:val="nil"/>
          <w:between w:val="nil"/>
        </w:pBdr>
        <w:spacing w:line="240" w:lineRule="auto"/>
        <w:ind w:left="567" w:hanging="283"/>
        <w:rPr>
          <w:rFonts w:ascii="Calibri" w:eastAsia="Calibri" w:hAnsi="Calibri" w:cs="Calibri"/>
          <w:color w:val="262626"/>
          <w:sz w:val="26"/>
          <w:szCs w:val="26"/>
        </w:rPr>
      </w:pPr>
      <w:r>
        <w:rPr>
          <w:rFonts w:ascii="Calibri" w:eastAsia="Calibri" w:hAnsi="Calibri" w:cs="Calibri"/>
          <w:color w:val="262626"/>
          <w:sz w:val="26"/>
          <w:szCs w:val="26"/>
        </w:rPr>
        <w:t>Las lagunas d</w:t>
      </w:r>
      <w:r>
        <w:rPr>
          <w:rFonts w:ascii="Calibri" w:eastAsia="Calibri" w:hAnsi="Calibri" w:cs="Calibri"/>
          <w:color w:val="262626"/>
          <w:sz w:val="26"/>
          <w:szCs w:val="26"/>
        </w:rPr>
        <w:t>el Real Decreto hacen que no sea aplicable inmediatamente a pesar de entrar en vigor el día 22 de abril</w:t>
      </w:r>
    </w:p>
    <w:p w14:paraId="6D95CC8B" w14:textId="77777777" w:rsidR="00DF561D" w:rsidRDefault="00DF561D">
      <w:pPr>
        <w:pBdr>
          <w:top w:val="nil"/>
          <w:left w:val="nil"/>
          <w:bottom w:val="nil"/>
          <w:right w:val="nil"/>
          <w:between w:val="nil"/>
        </w:pBdr>
        <w:spacing w:line="240" w:lineRule="auto"/>
        <w:rPr>
          <w:rFonts w:ascii="Calibri" w:eastAsia="Calibri" w:hAnsi="Calibri" w:cs="Calibri"/>
          <w:color w:val="262626"/>
          <w:sz w:val="26"/>
          <w:szCs w:val="26"/>
        </w:rPr>
      </w:pPr>
    </w:p>
    <w:p w14:paraId="26D4E589" w14:textId="77777777" w:rsidR="00DF561D" w:rsidRDefault="00797EBF">
      <w:pPr>
        <w:spacing w:line="240" w:lineRule="auto"/>
        <w:jc w:val="both"/>
        <w:rPr>
          <w:rFonts w:ascii="Calibri" w:eastAsia="Calibri" w:hAnsi="Calibri" w:cs="Calibri"/>
          <w:color w:val="262626"/>
        </w:rPr>
      </w:pPr>
      <w:bookmarkStart w:id="0" w:name="_heading=h.gjdgxs" w:colFirst="0" w:colLast="0"/>
      <w:bookmarkEnd w:id="0"/>
      <w:r>
        <w:rPr>
          <w:rFonts w:ascii="Calibri" w:eastAsia="Calibri" w:hAnsi="Calibri" w:cs="Calibri"/>
          <w:b/>
          <w:color w:val="262626"/>
          <w:sz w:val="20"/>
          <w:szCs w:val="20"/>
        </w:rPr>
        <w:t>21/04/2021</w:t>
      </w:r>
      <w:r>
        <w:rPr>
          <w:rFonts w:ascii="Calibri" w:eastAsia="Calibri" w:hAnsi="Calibri" w:cs="Calibri"/>
          <w:color w:val="262626"/>
        </w:rPr>
        <w:t>.- “La decisión del Gobierno de reducir un 40% las horas de formación necesarias para ejercer como mediador de seguros al tiempo que exige más protección a los derechos del cliente, es una incongruencia y no es un requisito ni de la Unión Europea ni del me</w:t>
      </w:r>
      <w:r>
        <w:rPr>
          <w:rFonts w:ascii="Calibri" w:eastAsia="Calibri" w:hAnsi="Calibri" w:cs="Calibri"/>
          <w:color w:val="262626"/>
        </w:rPr>
        <w:t>rcado español”, así lo afirman desde el Consejo General del Mediadores tras el análisis realizado al texto legislativo del Real Decreto sobre formación publicado hoy en el BOE.</w:t>
      </w:r>
    </w:p>
    <w:p w14:paraId="5076881E" w14:textId="77777777" w:rsidR="00DF561D" w:rsidRDefault="00DF561D">
      <w:pPr>
        <w:spacing w:line="240" w:lineRule="auto"/>
        <w:jc w:val="both"/>
        <w:rPr>
          <w:rFonts w:ascii="Calibri" w:eastAsia="Calibri" w:hAnsi="Calibri" w:cs="Calibri"/>
          <w:color w:val="262626"/>
        </w:rPr>
      </w:pPr>
    </w:p>
    <w:p w14:paraId="6E50CE72" w14:textId="77777777" w:rsidR="00DF561D" w:rsidRDefault="00797EBF">
      <w:pPr>
        <w:spacing w:line="240" w:lineRule="auto"/>
        <w:jc w:val="both"/>
        <w:rPr>
          <w:rFonts w:ascii="Calibri" w:eastAsia="Calibri" w:hAnsi="Calibri" w:cs="Calibri"/>
          <w:color w:val="262626"/>
        </w:rPr>
      </w:pPr>
      <w:r>
        <w:rPr>
          <w:rFonts w:ascii="Calibri" w:eastAsia="Calibri" w:hAnsi="Calibri" w:cs="Calibri"/>
          <w:color w:val="262626"/>
        </w:rPr>
        <w:t>Además, los mediadores consideran que el Real Decreto es difícilmente aplicabl</w:t>
      </w:r>
      <w:r>
        <w:rPr>
          <w:rFonts w:ascii="Calibri" w:eastAsia="Calibri" w:hAnsi="Calibri" w:cs="Calibri"/>
          <w:color w:val="262626"/>
        </w:rPr>
        <w:t>e a pesar de entrar en vigor a partir del día 22 de abril porque “desarrolla una ley que está, en estos momentos, en el Parlamento sometida a revisión y con un paquete de enmiendas que podrían modificar aspectos que esta norma regula”.</w:t>
      </w:r>
    </w:p>
    <w:p w14:paraId="2D0CECAB" w14:textId="77777777" w:rsidR="00DF561D" w:rsidRDefault="00DF561D">
      <w:pPr>
        <w:spacing w:line="240" w:lineRule="auto"/>
        <w:jc w:val="both"/>
        <w:rPr>
          <w:rFonts w:ascii="Calibri" w:eastAsia="Calibri" w:hAnsi="Calibri" w:cs="Calibri"/>
          <w:color w:val="262626"/>
        </w:rPr>
      </w:pPr>
    </w:p>
    <w:p w14:paraId="63E01C55" w14:textId="77777777" w:rsidR="00DF561D" w:rsidRDefault="00797EBF">
      <w:pPr>
        <w:spacing w:line="240" w:lineRule="auto"/>
        <w:jc w:val="both"/>
        <w:rPr>
          <w:rFonts w:ascii="Calibri" w:eastAsia="Calibri" w:hAnsi="Calibri" w:cs="Calibri"/>
          <w:color w:val="262626"/>
        </w:rPr>
      </w:pPr>
      <w:r>
        <w:rPr>
          <w:rFonts w:ascii="Calibri" w:eastAsia="Calibri" w:hAnsi="Calibri" w:cs="Calibri"/>
          <w:color w:val="262626"/>
        </w:rPr>
        <w:t>Por otro lado, desd</w:t>
      </w:r>
      <w:r>
        <w:rPr>
          <w:rFonts w:ascii="Calibri" w:eastAsia="Calibri" w:hAnsi="Calibri" w:cs="Calibri"/>
          <w:color w:val="262626"/>
        </w:rPr>
        <w:t>e la organización de mediadores se recuerda que “falta por desarrollar aspectos muy importantes que condicionan su aplicabilidad inmediata, como el contenido de los cursos de acceso y los mecanismos de acreditación de los centros de formación. Para ello se</w:t>
      </w:r>
      <w:r>
        <w:rPr>
          <w:rFonts w:ascii="Calibri" w:eastAsia="Calibri" w:hAnsi="Calibri" w:cs="Calibri"/>
          <w:color w:val="262626"/>
        </w:rPr>
        <w:t>rá necesaria que la Dirección General de Seguros emita una Resolución en las próximas semanas”.</w:t>
      </w:r>
    </w:p>
    <w:p w14:paraId="27ABDC45" w14:textId="77777777" w:rsidR="00DF561D" w:rsidRDefault="00DF561D">
      <w:pPr>
        <w:spacing w:line="240" w:lineRule="auto"/>
        <w:jc w:val="both"/>
        <w:rPr>
          <w:rFonts w:ascii="Calibri" w:eastAsia="Calibri" w:hAnsi="Calibri" w:cs="Calibri"/>
          <w:color w:val="262626"/>
        </w:rPr>
      </w:pPr>
    </w:p>
    <w:p w14:paraId="072E126B" w14:textId="77777777" w:rsidR="00DF561D" w:rsidRDefault="00797EBF">
      <w:pPr>
        <w:spacing w:line="240" w:lineRule="auto"/>
        <w:jc w:val="both"/>
        <w:rPr>
          <w:rFonts w:ascii="Calibri" w:eastAsia="Calibri" w:hAnsi="Calibri" w:cs="Calibri"/>
          <w:b/>
          <w:color w:val="262626"/>
        </w:rPr>
      </w:pPr>
      <w:r>
        <w:rPr>
          <w:rFonts w:ascii="Calibri" w:eastAsia="Calibri" w:hAnsi="Calibri" w:cs="Calibri"/>
          <w:b/>
          <w:color w:val="262626"/>
        </w:rPr>
        <w:t>Aspectos positivos</w:t>
      </w:r>
    </w:p>
    <w:p w14:paraId="0D855410" w14:textId="77777777" w:rsidR="00DF561D" w:rsidRDefault="00DF561D">
      <w:pPr>
        <w:spacing w:line="240" w:lineRule="auto"/>
        <w:jc w:val="both"/>
        <w:rPr>
          <w:rFonts w:ascii="Calibri" w:eastAsia="Calibri" w:hAnsi="Calibri" w:cs="Calibri"/>
          <w:color w:val="262626"/>
        </w:rPr>
      </w:pPr>
    </w:p>
    <w:p w14:paraId="4EF69E56" w14:textId="77777777" w:rsidR="00DF561D" w:rsidRDefault="00797EBF">
      <w:pPr>
        <w:spacing w:line="240" w:lineRule="auto"/>
        <w:jc w:val="both"/>
        <w:rPr>
          <w:rFonts w:ascii="Calibri" w:eastAsia="Calibri" w:hAnsi="Calibri" w:cs="Calibri"/>
          <w:color w:val="262626"/>
        </w:rPr>
      </w:pPr>
      <w:r>
        <w:rPr>
          <w:rFonts w:ascii="Calibri" w:eastAsia="Calibri" w:hAnsi="Calibri" w:cs="Calibri"/>
          <w:color w:val="262626"/>
        </w:rPr>
        <w:t>Entre los aspectos positivos de la nueva normativa se destacan dos:</w:t>
      </w:r>
    </w:p>
    <w:p w14:paraId="66252FBE" w14:textId="77777777" w:rsidR="00DF561D" w:rsidRDefault="00DF561D">
      <w:pPr>
        <w:spacing w:line="240" w:lineRule="auto"/>
        <w:jc w:val="both"/>
        <w:rPr>
          <w:rFonts w:ascii="Calibri" w:eastAsia="Calibri" w:hAnsi="Calibri" w:cs="Calibri"/>
          <w:color w:val="262626"/>
        </w:rPr>
      </w:pPr>
    </w:p>
    <w:p w14:paraId="3BA57872" w14:textId="77777777" w:rsidR="00DF561D" w:rsidRDefault="00797EBF">
      <w:pPr>
        <w:numPr>
          <w:ilvl w:val="0"/>
          <w:numId w:val="1"/>
        </w:numPr>
        <w:spacing w:line="240" w:lineRule="auto"/>
        <w:jc w:val="both"/>
        <w:rPr>
          <w:rFonts w:ascii="Calibri" w:eastAsia="Calibri" w:hAnsi="Calibri" w:cs="Calibri"/>
          <w:color w:val="262626"/>
        </w:rPr>
      </w:pPr>
      <w:r>
        <w:rPr>
          <w:rFonts w:ascii="Calibri" w:eastAsia="Calibri" w:hAnsi="Calibri" w:cs="Calibri"/>
          <w:color w:val="262626"/>
        </w:rPr>
        <w:t xml:space="preserve">Generalización, a la práctica totalidad de sujetos que intervienen en </w:t>
      </w:r>
      <w:r>
        <w:rPr>
          <w:rFonts w:ascii="Calibri" w:eastAsia="Calibri" w:hAnsi="Calibri" w:cs="Calibri"/>
          <w:color w:val="262626"/>
        </w:rPr>
        <w:t>la distribución de seguros, de la necesidad de una formación inicial y una formación continua para ejercer la actividad</w:t>
      </w:r>
    </w:p>
    <w:p w14:paraId="560A80E2" w14:textId="77777777" w:rsidR="00DF561D" w:rsidRDefault="00797EBF">
      <w:pPr>
        <w:numPr>
          <w:ilvl w:val="0"/>
          <w:numId w:val="1"/>
        </w:numPr>
        <w:spacing w:line="240" w:lineRule="auto"/>
        <w:jc w:val="both"/>
        <w:rPr>
          <w:rFonts w:ascii="Calibri" w:eastAsia="Calibri" w:hAnsi="Calibri" w:cs="Calibri"/>
          <w:color w:val="262626"/>
        </w:rPr>
      </w:pPr>
      <w:r>
        <w:rPr>
          <w:rFonts w:ascii="Calibri" w:eastAsia="Calibri" w:hAnsi="Calibri" w:cs="Calibri"/>
          <w:color w:val="262626"/>
        </w:rPr>
        <w:t>Establecimiento de un sistema curricular en la formación inicial que permitirá, a quienes realicen cambios en su actividad, poder aprove</w:t>
      </w:r>
      <w:r>
        <w:rPr>
          <w:rFonts w:ascii="Calibri" w:eastAsia="Calibri" w:hAnsi="Calibri" w:cs="Calibri"/>
          <w:color w:val="262626"/>
        </w:rPr>
        <w:t>char íntegramente los conocimientos adquiridos en los niveles inferiores</w:t>
      </w:r>
    </w:p>
    <w:p w14:paraId="6BFF4547" w14:textId="77777777" w:rsidR="00DF561D" w:rsidRDefault="00DF561D">
      <w:pPr>
        <w:spacing w:line="240" w:lineRule="auto"/>
        <w:jc w:val="both"/>
        <w:rPr>
          <w:rFonts w:ascii="Calibri" w:eastAsia="Calibri" w:hAnsi="Calibri" w:cs="Calibri"/>
          <w:color w:val="262626"/>
        </w:rPr>
      </w:pPr>
    </w:p>
    <w:p w14:paraId="3A895F7D" w14:textId="77777777" w:rsidR="00DF561D" w:rsidRDefault="00797EBF">
      <w:pPr>
        <w:spacing w:line="240" w:lineRule="auto"/>
        <w:jc w:val="both"/>
        <w:rPr>
          <w:rFonts w:ascii="Calibri" w:eastAsia="Calibri" w:hAnsi="Calibri" w:cs="Calibri"/>
          <w:b/>
          <w:color w:val="262626"/>
        </w:rPr>
      </w:pPr>
      <w:r>
        <w:rPr>
          <w:rFonts w:ascii="Calibri" w:eastAsia="Calibri" w:hAnsi="Calibri" w:cs="Calibri"/>
          <w:b/>
          <w:color w:val="262626"/>
        </w:rPr>
        <w:t>Aspectos críticos</w:t>
      </w:r>
    </w:p>
    <w:p w14:paraId="43211301" w14:textId="77777777" w:rsidR="00DF561D" w:rsidRDefault="00DF561D">
      <w:pPr>
        <w:spacing w:line="240" w:lineRule="auto"/>
        <w:jc w:val="both"/>
        <w:rPr>
          <w:rFonts w:ascii="Calibri" w:eastAsia="Calibri" w:hAnsi="Calibri" w:cs="Calibri"/>
          <w:color w:val="262626"/>
        </w:rPr>
      </w:pPr>
    </w:p>
    <w:p w14:paraId="66E2E9F9" w14:textId="77777777" w:rsidR="00DF561D" w:rsidRDefault="00797EBF">
      <w:pPr>
        <w:spacing w:line="240" w:lineRule="auto"/>
        <w:jc w:val="both"/>
        <w:rPr>
          <w:rFonts w:ascii="Calibri" w:eastAsia="Calibri" w:hAnsi="Calibri" w:cs="Calibri"/>
          <w:color w:val="262626"/>
        </w:rPr>
      </w:pPr>
      <w:r>
        <w:rPr>
          <w:rFonts w:ascii="Calibri" w:eastAsia="Calibri" w:hAnsi="Calibri" w:cs="Calibri"/>
          <w:color w:val="262626"/>
        </w:rPr>
        <w:t>El Consejo General de Mediadores es especialmente crítico en algunos puntos que llevan a la inconcreción o dejan a la interpretación asuntos que deberían estar más cerrados. Entre ellos:</w:t>
      </w:r>
    </w:p>
    <w:p w14:paraId="2A36E2C7" w14:textId="77777777" w:rsidR="00DF561D" w:rsidRDefault="00DF561D">
      <w:pPr>
        <w:spacing w:line="240" w:lineRule="auto"/>
        <w:jc w:val="both"/>
        <w:rPr>
          <w:rFonts w:ascii="Calibri" w:eastAsia="Calibri" w:hAnsi="Calibri" w:cs="Calibri"/>
          <w:color w:val="262626"/>
        </w:rPr>
      </w:pPr>
    </w:p>
    <w:p w14:paraId="16A6C6A9" w14:textId="77777777" w:rsidR="00DF561D" w:rsidRDefault="00797EBF">
      <w:pPr>
        <w:numPr>
          <w:ilvl w:val="0"/>
          <w:numId w:val="3"/>
        </w:numPr>
        <w:spacing w:line="240" w:lineRule="auto"/>
        <w:jc w:val="both"/>
        <w:rPr>
          <w:rFonts w:ascii="Calibri" w:eastAsia="Calibri" w:hAnsi="Calibri" w:cs="Calibri"/>
          <w:color w:val="262626"/>
        </w:rPr>
      </w:pPr>
      <w:r>
        <w:rPr>
          <w:rFonts w:ascii="Calibri" w:eastAsia="Calibri" w:hAnsi="Calibri" w:cs="Calibri"/>
          <w:color w:val="262626"/>
        </w:rPr>
        <w:t xml:space="preserve">No hay un equilibrio entre las responsabilidades de cada uno de los </w:t>
      </w:r>
      <w:r>
        <w:rPr>
          <w:rFonts w:ascii="Calibri" w:eastAsia="Calibri" w:hAnsi="Calibri" w:cs="Calibri"/>
          <w:color w:val="262626"/>
        </w:rPr>
        <w:t xml:space="preserve">niveles de formación inicial y el número de horas que se establecen. </w:t>
      </w:r>
    </w:p>
    <w:p w14:paraId="171FF71F" w14:textId="77777777" w:rsidR="00DF561D" w:rsidRDefault="00797EBF">
      <w:pPr>
        <w:numPr>
          <w:ilvl w:val="0"/>
          <w:numId w:val="3"/>
        </w:numPr>
        <w:spacing w:line="240" w:lineRule="auto"/>
        <w:jc w:val="both"/>
        <w:rPr>
          <w:rFonts w:ascii="Calibri" w:eastAsia="Calibri" w:hAnsi="Calibri" w:cs="Calibri"/>
          <w:color w:val="262626"/>
        </w:rPr>
      </w:pPr>
      <w:r>
        <w:rPr>
          <w:rFonts w:ascii="Calibri" w:eastAsia="Calibri" w:hAnsi="Calibri" w:cs="Calibri"/>
          <w:color w:val="262626"/>
        </w:rPr>
        <w:lastRenderedPageBreak/>
        <w:t>Se evidencia poca diferencia entre un corredor (300 horas), un agente que asesora (200 horas) y entre este y un agente que informa (150 horas).</w:t>
      </w:r>
    </w:p>
    <w:p w14:paraId="40581CCE" w14:textId="77777777" w:rsidR="00DF561D" w:rsidRDefault="00797EBF">
      <w:pPr>
        <w:numPr>
          <w:ilvl w:val="0"/>
          <w:numId w:val="3"/>
        </w:numPr>
        <w:spacing w:line="240" w:lineRule="auto"/>
        <w:jc w:val="both"/>
        <w:rPr>
          <w:rFonts w:ascii="Calibri" w:eastAsia="Calibri" w:hAnsi="Calibri" w:cs="Calibri"/>
          <w:color w:val="262626"/>
        </w:rPr>
      </w:pPr>
      <w:r>
        <w:rPr>
          <w:rFonts w:ascii="Calibri" w:eastAsia="Calibri" w:hAnsi="Calibri" w:cs="Calibri"/>
          <w:color w:val="262626"/>
        </w:rPr>
        <w:t>La figura del agente que solo informa, en relación con la del agente que asesora, lleva a confusión y puede devaluar esta figura.</w:t>
      </w:r>
    </w:p>
    <w:p w14:paraId="0F55DBB0" w14:textId="77777777" w:rsidR="00DF561D" w:rsidRDefault="00797EBF">
      <w:pPr>
        <w:numPr>
          <w:ilvl w:val="0"/>
          <w:numId w:val="3"/>
        </w:numPr>
        <w:spacing w:line="240" w:lineRule="auto"/>
        <w:jc w:val="both"/>
        <w:rPr>
          <w:rFonts w:ascii="Calibri" w:eastAsia="Calibri" w:hAnsi="Calibri" w:cs="Calibri"/>
          <w:color w:val="262626"/>
        </w:rPr>
      </w:pPr>
      <w:r>
        <w:rPr>
          <w:rFonts w:ascii="Calibri" w:eastAsia="Calibri" w:hAnsi="Calibri" w:cs="Calibri"/>
          <w:color w:val="262626"/>
        </w:rPr>
        <w:t xml:space="preserve">Resulta también sorprendente que no se contemple expresamente la figura del agente vinculado, que sigue estando reconocida en </w:t>
      </w:r>
      <w:r>
        <w:rPr>
          <w:rFonts w:ascii="Calibri" w:eastAsia="Calibri" w:hAnsi="Calibri" w:cs="Calibri"/>
          <w:color w:val="262626"/>
        </w:rPr>
        <w:t>el resto del marco normativo. Esto hace pensar que sus requisitos de formación se encontrarán ahora dentro de los que corresponden al agente. Sin embargo, sus obligaciones son distintas, lo cual puede llevar, de nuevo, a confusión</w:t>
      </w:r>
    </w:p>
    <w:p w14:paraId="6BD9A209" w14:textId="77777777" w:rsidR="00DF561D" w:rsidRDefault="00797EBF">
      <w:pPr>
        <w:numPr>
          <w:ilvl w:val="0"/>
          <w:numId w:val="3"/>
        </w:numPr>
        <w:spacing w:line="240" w:lineRule="auto"/>
        <w:jc w:val="both"/>
        <w:rPr>
          <w:rFonts w:ascii="Calibri" w:eastAsia="Calibri" w:hAnsi="Calibri" w:cs="Calibri"/>
          <w:color w:val="262626"/>
        </w:rPr>
      </w:pPr>
      <w:r>
        <w:rPr>
          <w:rFonts w:ascii="Calibri" w:eastAsia="Calibri" w:hAnsi="Calibri" w:cs="Calibri"/>
          <w:color w:val="262626"/>
        </w:rPr>
        <w:t>El aspecto más crítico en</w:t>
      </w:r>
      <w:r>
        <w:rPr>
          <w:rFonts w:ascii="Calibri" w:eastAsia="Calibri" w:hAnsi="Calibri" w:cs="Calibri"/>
          <w:color w:val="262626"/>
        </w:rPr>
        <w:t xml:space="preserve"> este reparto de horas de formación inicial es la reducción de las 500 horas a 300, una rebaja que en ocasiones se ha intentado explicar de forma errónea como un requisito de la directiva europea.</w:t>
      </w:r>
    </w:p>
    <w:p w14:paraId="172A2ED4" w14:textId="77777777" w:rsidR="00DF561D" w:rsidRDefault="00797EBF">
      <w:pPr>
        <w:numPr>
          <w:ilvl w:val="0"/>
          <w:numId w:val="3"/>
        </w:numPr>
        <w:spacing w:line="240" w:lineRule="auto"/>
        <w:jc w:val="both"/>
        <w:rPr>
          <w:rFonts w:ascii="Calibri" w:eastAsia="Calibri" w:hAnsi="Calibri" w:cs="Calibri"/>
          <w:color w:val="262626"/>
        </w:rPr>
      </w:pPr>
      <w:r>
        <w:rPr>
          <w:rFonts w:ascii="Calibri" w:eastAsia="Calibri" w:hAnsi="Calibri" w:cs="Calibri"/>
          <w:color w:val="262626"/>
        </w:rPr>
        <w:t>Quedan en el aire los requisitos que afectarán a los centro</w:t>
      </w:r>
      <w:r>
        <w:rPr>
          <w:rFonts w:ascii="Calibri" w:eastAsia="Calibri" w:hAnsi="Calibri" w:cs="Calibri"/>
          <w:color w:val="262626"/>
        </w:rPr>
        <w:t>s de formación, cuestión que deberá regularse a través de la Resolución de la Dirección General de Seguros. Para los mediadores “no es un elemento menor al hallarnos ante un sector hiperregulado donde se espera que en los próximos años la normativa siga au</w:t>
      </w:r>
      <w:r>
        <w:rPr>
          <w:rFonts w:ascii="Calibri" w:eastAsia="Calibri" w:hAnsi="Calibri" w:cs="Calibri"/>
          <w:color w:val="262626"/>
        </w:rPr>
        <w:t>mentando”.</w:t>
      </w:r>
    </w:p>
    <w:p w14:paraId="485342B9" w14:textId="77777777" w:rsidR="00DF561D" w:rsidRDefault="00797EBF">
      <w:pPr>
        <w:numPr>
          <w:ilvl w:val="0"/>
          <w:numId w:val="3"/>
        </w:numPr>
        <w:spacing w:line="240" w:lineRule="auto"/>
        <w:jc w:val="both"/>
        <w:rPr>
          <w:rFonts w:ascii="Calibri" w:eastAsia="Calibri" w:hAnsi="Calibri" w:cs="Calibri"/>
          <w:color w:val="262626"/>
        </w:rPr>
      </w:pPr>
      <w:r>
        <w:rPr>
          <w:rFonts w:ascii="Calibri" w:eastAsia="Calibri" w:hAnsi="Calibri" w:cs="Calibri"/>
          <w:color w:val="262626"/>
        </w:rPr>
        <w:t>Por otro lado, si la normativa siempre debe tender a buscar la protección del consumidor de seguros el RD debería recoger la especial relevancia de los centros que impartan y acrediten esta formación, al igual que sucede en otros sectores con un</w:t>
      </w:r>
      <w:r>
        <w:rPr>
          <w:rFonts w:ascii="Calibri" w:eastAsia="Calibri" w:hAnsi="Calibri" w:cs="Calibri"/>
          <w:color w:val="262626"/>
        </w:rPr>
        <w:t xml:space="preserve"> grado parecido de regulación. Para el Consejo General de mediadores esta situación se debería traducir en la necesidad de que exista un registro de centros y un sistema de control de estos que garantice la igualdad y la excelencia.</w:t>
      </w:r>
    </w:p>
    <w:p w14:paraId="3D338687" w14:textId="77777777" w:rsidR="00DF561D" w:rsidRDefault="00DF561D">
      <w:pPr>
        <w:spacing w:line="240" w:lineRule="auto"/>
        <w:jc w:val="both"/>
        <w:rPr>
          <w:rFonts w:ascii="Calibri" w:eastAsia="Calibri" w:hAnsi="Calibri" w:cs="Calibri"/>
          <w:color w:val="262626"/>
        </w:rPr>
      </w:pPr>
    </w:p>
    <w:p w14:paraId="7CBCC247" w14:textId="77777777" w:rsidR="00DF561D" w:rsidRDefault="00DF561D">
      <w:pPr>
        <w:spacing w:line="240" w:lineRule="auto"/>
        <w:jc w:val="both"/>
        <w:rPr>
          <w:rFonts w:ascii="Calibri" w:eastAsia="Calibri" w:hAnsi="Calibri" w:cs="Calibri"/>
          <w:color w:val="262626"/>
        </w:rPr>
      </w:pPr>
    </w:p>
    <w:p w14:paraId="70762ACE" w14:textId="77777777" w:rsidR="00DF561D" w:rsidRDefault="00797EBF">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Calibri" w:eastAsia="Calibri" w:hAnsi="Calibri" w:cs="Calibri"/>
          <w:b/>
          <w:color w:val="000000"/>
          <w:sz w:val="20"/>
          <w:szCs w:val="20"/>
        </w:rPr>
      </w:pPr>
      <w:r>
        <w:rPr>
          <w:rFonts w:ascii="Calibri" w:eastAsia="Calibri" w:hAnsi="Calibri" w:cs="Calibri"/>
          <w:b/>
          <w:color w:val="000000"/>
          <w:sz w:val="20"/>
          <w:szCs w:val="20"/>
        </w:rPr>
        <w:t>Sobre el Consejo Gene</w:t>
      </w:r>
      <w:r>
        <w:rPr>
          <w:rFonts w:ascii="Calibri" w:eastAsia="Calibri" w:hAnsi="Calibri" w:cs="Calibri"/>
          <w:b/>
          <w:color w:val="000000"/>
          <w:sz w:val="20"/>
          <w:szCs w:val="20"/>
        </w:rPr>
        <w:t xml:space="preserve">ral </w:t>
      </w:r>
    </w:p>
    <w:p w14:paraId="00551B59" w14:textId="77777777" w:rsidR="00DF561D" w:rsidRDefault="00797EBF">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eastAsia="Calibri" w:hAnsi="Calibri" w:cs="Calibri"/>
          <w:i/>
          <w:color w:val="000000"/>
          <w:sz w:val="18"/>
          <w:szCs w:val="18"/>
        </w:rPr>
      </w:pPr>
      <w:r>
        <w:rPr>
          <w:rFonts w:ascii="Calibri" w:eastAsia="Calibri" w:hAnsi="Calibri" w:cs="Calibri"/>
          <w:i/>
          <w:color w:val="000000"/>
          <w:sz w:val="18"/>
          <w:szCs w:val="18"/>
        </w:rPr>
        <w:t xml:space="preserve">El Consejo General de los Colegios de Mediadores de Seguros es la corporación de derecho público que aglutina a 50 colegios profesionales distribuidos por todo el territorio nacional. Sus más de 7.000 miembros la convierten en la organización de agentes y </w:t>
      </w:r>
      <w:r>
        <w:rPr>
          <w:rFonts w:ascii="Calibri" w:eastAsia="Calibri" w:hAnsi="Calibri" w:cs="Calibri"/>
          <w:i/>
          <w:color w:val="000000"/>
          <w:sz w:val="18"/>
          <w:szCs w:val="18"/>
        </w:rPr>
        <w:t xml:space="preserve">corredores de seguros más importante de España y más numerosa de Europa. </w:t>
      </w:r>
    </w:p>
    <w:p w14:paraId="5C06D835" w14:textId="77777777" w:rsidR="00DF561D" w:rsidRDefault="00797EBF">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eastAsia="Calibri" w:hAnsi="Calibri" w:cs="Calibri"/>
          <w:i/>
          <w:color w:val="000000"/>
          <w:sz w:val="18"/>
          <w:szCs w:val="18"/>
        </w:rPr>
      </w:pPr>
      <w:r>
        <w:rPr>
          <w:rFonts w:ascii="Calibri" w:eastAsia="Calibri" w:hAnsi="Calibri" w:cs="Calibri"/>
          <w:i/>
          <w:color w:val="000000"/>
          <w:sz w:val="18"/>
          <w:szCs w:val="18"/>
        </w:rPr>
        <w:t xml:space="preserve">Forma parte de las principales organizaciones internacionales de profesionales del sector como BIPAR (Europa), COPAPROSE (América) y WFii (mundial). </w:t>
      </w:r>
    </w:p>
    <w:p w14:paraId="0DA14FE9" w14:textId="77777777" w:rsidR="00DF561D" w:rsidRDefault="00797EBF">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eastAsia="Calibri" w:hAnsi="Calibri" w:cs="Calibri"/>
          <w:i/>
          <w:color w:val="000000"/>
          <w:sz w:val="18"/>
          <w:szCs w:val="18"/>
        </w:rPr>
      </w:pPr>
      <w:r>
        <w:rPr>
          <w:rFonts w:ascii="Calibri" w:eastAsia="Calibri" w:hAnsi="Calibri" w:cs="Calibri"/>
          <w:i/>
          <w:color w:val="000000"/>
          <w:sz w:val="18"/>
          <w:szCs w:val="18"/>
        </w:rPr>
        <w:t>Cuenta con una escuela de negoci</w:t>
      </w:r>
      <w:r>
        <w:rPr>
          <w:rFonts w:ascii="Calibri" w:eastAsia="Calibri" w:hAnsi="Calibri" w:cs="Calibri"/>
          <w:i/>
          <w:color w:val="000000"/>
          <w:sz w:val="18"/>
          <w:szCs w:val="18"/>
        </w:rPr>
        <w:t xml:space="preserve">os, CECAS, exclusivamente dedicada a la formación aseguradora. </w:t>
      </w:r>
      <w:r>
        <w:rPr>
          <w:rFonts w:ascii="Calibri" w:eastAsia="Calibri" w:hAnsi="Calibri" w:cs="Calibri"/>
          <w:i/>
          <w:color w:val="000000"/>
          <w:sz w:val="18"/>
          <w:szCs w:val="18"/>
        </w:rPr>
        <w:br/>
      </w:r>
      <w:r>
        <w:rPr>
          <w:rFonts w:ascii="Calibri" w:eastAsia="Calibri" w:hAnsi="Calibri" w:cs="Calibri"/>
          <w:b/>
          <w:i/>
          <w:color w:val="000000"/>
          <w:sz w:val="18"/>
          <w:szCs w:val="18"/>
        </w:rPr>
        <w:t>Javier Barberá</w:t>
      </w:r>
      <w:r>
        <w:rPr>
          <w:rFonts w:ascii="Calibri" w:eastAsia="Calibri" w:hAnsi="Calibri" w:cs="Calibri"/>
          <w:i/>
          <w:color w:val="000000"/>
          <w:sz w:val="18"/>
          <w:szCs w:val="18"/>
        </w:rPr>
        <w:t xml:space="preserve"> es su presidente desde 2021 </w:t>
      </w:r>
      <w:r>
        <w:rPr>
          <w:rFonts w:ascii="Calibri" w:eastAsia="Calibri" w:hAnsi="Calibri" w:cs="Calibri"/>
          <w:i/>
          <w:color w:val="000000"/>
          <w:sz w:val="18"/>
          <w:szCs w:val="18"/>
        </w:rPr>
        <w:br/>
      </w:r>
    </w:p>
    <w:p w14:paraId="008359AB" w14:textId="77777777" w:rsidR="00DF561D" w:rsidRDefault="00DF561D">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eastAsia="Calibri" w:hAnsi="Calibri" w:cs="Calibri"/>
          <w:b/>
          <w:color w:val="000000"/>
          <w:sz w:val="21"/>
          <w:szCs w:val="21"/>
        </w:rPr>
      </w:pPr>
    </w:p>
    <w:p w14:paraId="4A139531" w14:textId="77777777" w:rsidR="00DF561D" w:rsidRDefault="00797EBF">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eastAsia="Calibri" w:hAnsi="Calibri" w:cs="Calibri"/>
          <w:color w:val="000000"/>
          <w:sz w:val="20"/>
          <w:szCs w:val="20"/>
        </w:rPr>
      </w:pPr>
      <w:r>
        <w:rPr>
          <w:rFonts w:ascii="Calibri" w:eastAsia="Calibri" w:hAnsi="Calibri" w:cs="Calibri"/>
          <w:b/>
          <w:color w:val="000000"/>
          <w:sz w:val="21"/>
          <w:szCs w:val="21"/>
        </w:rPr>
        <w:t xml:space="preserve">Prensa: </w:t>
      </w:r>
      <w:r>
        <w:rPr>
          <w:rFonts w:ascii="Calibri" w:eastAsia="Calibri" w:hAnsi="Calibri" w:cs="Calibri"/>
          <w:color w:val="000000"/>
          <w:sz w:val="21"/>
          <w:szCs w:val="21"/>
        </w:rPr>
        <w:t>Ana Gómez</w:t>
      </w:r>
      <w:r>
        <w:rPr>
          <w:rFonts w:ascii="Calibri" w:eastAsia="Calibri" w:hAnsi="Calibri" w:cs="Calibri"/>
          <w:b/>
          <w:color w:val="000000"/>
          <w:sz w:val="20"/>
          <w:szCs w:val="20"/>
        </w:rPr>
        <w:t xml:space="preserve"> · </w:t>
      </w:r>
      <w:r>
        <w:rPr>
          <w:rFonts w:ascii="Calibri" w:eastAsia="Calibri" w:hAnsi="Calibri" w:cs="Calibri"/>
          <w:color w:val="0000FF"/>
          <w:sz w:val="20"/>
          <w:szCs w:val="20"/>
        </w:rPr>
        <w:t xml:space="preserve"> </w:t>
      </w:r>
      <w:hyperlink r:id="rId8">
        <w:r>
          <w:rPr>
            <w:rFonts w:ascii="Calibri" w:eastAsia="Calibri" w:hAnsi="Calibri" w:cs="Calibri"/>
            <w:color w:val="0000FF"/>
            <w:sz w:val="20"/>
            <w:szCs w:val="20"/>
            <w:u w:val="single"/>
          </w:rPr>
          <w:t>ana.gomez@mediadores.info</w:t>
        </w:r>
      </w:hyperlink>
      <w:r>
        <w:rPr>
          <w:rFonts w:ascii="Calibri" w:eastAsia="Calibri" w:hAnsi="Calibri" w:cs="Calibri"/>
          <w:color w:val="0000FF"/>
          <w:sz w:val="20"/>
          <w:szCs w:val="20"/>
        </w:rPr>
        <w:t xml:space="preserve"> . </w:t>
      </w:r>
      <w:r>
        <w:rPr>
          <w:rFonts w:ascii="Calibri" w:eastAsia="Calibri" w:hAnsi="Calibri" w:cs="Calibri"/>
          <w:color w:val="000000"/>
          <w:sz w:val="20"/>
          <w:szCs w:val="20"/>
        </w:rPr>
        <w:t>91 562 27 03</w:t>
      </w:r>
    </w:p>
    <w:p w14:paraId="6C4F48C0" w14:textId="77777777" w:rsidR="00DF561D" w:rsidRDefault="00DF561D">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eastAsia="Calibri" w:hAnsi="Calibri" w:cs="Calibri"/>
          <w:color w:val="000000"/>
          <w:sz w:val="20"/>
          <w:szCs w:val="20"/>
        </w:rPr>
      </w:pPr>
    </w:p>
    <w:p w14:paraId="38A6CBC9" w14:textId="77777777" w:rsidR="00DF561D" w:rsidRDefault="00DF561D">
      <w:pPr>
        <w:pBdr>
          <w:top w:val="nil"/>
          <w:left w:val="nil"/>
          <w:bottom w:val="single" w:sz="6" w:space="1" w:color="000000"/>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eastAsia="Calibri" w:hAnsi="Calibri" w:cs="Calibri"/>
          <w:color w:val="000000"/>
          <w:sz w:val="20"/>
          <w:szCs w:val="20"/>
        </w:rPr>
      </w:pPr>
    </w:p>
    <w:p w14:paraId="71E4B65B" w14:textId="77777777" w:rsidR="00DF561D" w:rsidRDefault="00797EBF">
      <w:pPr>
        <w:shd w:val="clear" w:color="auto" w:fill="FFFFFF"/>
        <w:spacing w:line="240" w:lineRule="auto"/>
        <w:jc w:val="both"/>
        <w:rPr>
          <w:rFonts w:ascii="Calibri" w:eastAsia="Calibri" w:hAnsi="Calibri" w:cs="Calibri"/>
          <w:i/>
          <w:color w:val="000000"/>
          <w:sz w:val="18"/>
          <w:szCs w:val="18"/>
        </w:rPr>
      </w:pPr>
      <w:r>
        <w:rPr>
          <w:color w:val="222222"/>
          <w:sz w:val="27"/>
          <w:szCs w:val="27"/>
        </w:rPr>
        <w:t> </w:t>
      </w:r>
    </w:p>
    <w:sectPr w:rsidR="00DF561D">
      <w:headerReference w:type="default" r:id="rId9"/>
      <w:footerReference w:type="default" r:id="rId10"/>
      <w:pgSz w:w="11909" w:h="16834"/>
      <w:pgMar w:top="407" w:right="1440" w:bottom="1440" w:left="1440" w:header="51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C6BB6" w14:textId="77777777" w:rsidR="00000000" w:rsidRDefault="00797EBF">
      <w:pPr>
        <w:spacing w:line="240" w:lineRule="auto"/>
      </w:pPr>
      <w:r>
        <w:separator/>
      </w:r>
    </w:p>
  </w:endnote>
  <w:endnote w:type="continuationSeparator" w:id="0">
    <w:p w14:paraId="2DF05160" w14:textId="77777777" w:rsidR="00000000" w:rsidRDefault="00797E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38B4B" w14:textId="77777777" w:rsidR="00DF561D" w:rsidRDefault="00797EBF">
    <w:pPr>
      <w:jc w:val="right"/>
    </w:pPr>
    <w:r>
      <w:fldChar w:fldCharType="begin"/>
    </w:r>
    <w:r>
      <w:instrText>PAGE</w:instrText>
    </w:r>
    <w:r w:rsidR="00710691">
      <w:fldChar w:fldCharType="separate"/>
    </w:r>
    <w:r w:rsidR="0071069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4C72E" w14:textId="77777777" w:rsidR="00000000" w:rsidRDefault="00797EBF">
      <w:pPr>
        <w:spacing w:line="240" w:lineRule="auto"/>
      </w:pPr>
      <w:r>
        <w:separator/>
      </w:r>
    </w:p>
  </w:footnote>
  <w:footnote w:type="continuationSeparator" w:id="0">
    <w:p w14:paraId="57AC2EA8" w14:textId="77777777" w:rsidR="00000000" w:rsidRDefault="00797E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91E7F" w14:textId="77777777" w:rsidR="00DF561D" w:rsidRDefault="00797EBF">
    <w:r>
      <w:rPr>
        <w:noProof/>
      </w:rPr>
      <w:drawing>
        <wp:anchor distT="114300" distB="114300" distL="114300" distR="114300" simplePos="0" relativeHeight="251658240" behindDoc="0" locked="0" layoutInCell="1" hidden="0" allowOverlap="1" wp14:anchorId="1F124F9F" wp14:editId="1C8540D5">
          <wp:simplePos x="0" y="0"/>
          <wp:positionH relativeFrom="column">
            <wp:posOffset>-914399</wp:posOffset>
          </wp:positionH>
          <wp:positionV relativeFrom="paragraph">
            <wp:posOffset>-209549</wp:posOffset>
          </wp:positionV>
          <wp:extent cx="2508647" cy="900113"/>
          <wp:effectExtent l="0" t="0" r="0" b="0"/>
          <wp:wrapTopAndBottom distT="114300" distB="11430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08647" cy="90011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C463D"/>
    <w:multiLevelType w:val="multilevel"/>
    <w:tmpl w:val="C41628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177067"/>
    <w:multiLevelType w:val="multilevel"/>
    <w:tmpl w:val="E794D91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38F3B2D"/>
    <w:multiLevelType w:val="multilevel"/>
    <w:tmpl w:val="CF94E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61D"/>
    <w:rsid w:val="00710691"/>
    <w:rsid w:val="00797EBF"/>
    <w:rsid w:val="00DF56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5B626"/>
  <w15:docId w15:val="{647D8FE5-B78D-43E5-B442-2CF89F88E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_tradnl"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character" w:styleId="Hipervnculo">
    <w:name w:val="Hyperlink"/>
    <w:basedOn w:val="Fuentedeprrafopredeter"/>
    <w:uiPriority w:val="99"/>
    <w:unhideWhenUsed/>
    <w:rsid w:val="00FB5E25"/>
    <w:rPr>
      <w:color w:val="0000FF"/>
      <w:u w:val="single"/>
    </w:rPr>
  </w:style>
  <w:style w:type="paragraph" w:customStyle="1" w:styleId="CuerpoA">
    <w:name w:val="Cuerpo A"/>
    <w:rsid w:val="00B416E4"/>
    <w:pPr>
      <w:pBdr>
        <w:top w:val="nil"/>
        <w:left w:val="nil"/>
        <w:bottom w:val="nil"/>
        <w:right w:val="nil"/>
        <w:between w:val="nil"/>
        <w:bar w:val="nil"/>
      </w:pBdr>
      <w:spacing w:after="160" w:line="259" w:lineRule="auto"/>
    </w:pPr>
    <w:rPr>
      <w:rFonts w:ascii="Calibri" w:eastAsia="Calibri" w:hAnsi="Calibri" w:cs="Calibri"/>
      <w:color w:val="000000"/>
      <w:u w:color="000000"/>
      <w:bdr w:val="nil"/>
      <w:lang w:val="es-ES"/>
    </w:rPr>
  </w:style>
  <w:style w:type="character" w:customStyle="1" w:styleId="Ninguno">
    <w:name w:val="Ninguno"/>
    <w:rsid w:val="00B416E4"/>
  </w:style>
  <w:style w:type="paragraph" w:customStyle="1" w:styleId="CuerpoB">
    <w:name w:val="Cuerpo B"/>
    <w:rsid w:val="00B416E4"/>
    <w:pPr>
      <w:pBdr>
        <w:top w:val="nil"/>
        <w:left w:val="nil"/>
        <w:bottom w:val="nil"/>
        <w:right w:val="nil"/>
        <w:between w:val="nil"/>
        <w:bar w:val="nil"/>
      </w:pBdr>
      <w:spacing w:line="240" w:lineRule="auto"/>
    </w:pPr>
    <w:rPr>
      <w:rFonts w:ascii="Times New Roman" w:eastAsia="Arial Unicode MS" w:hAnsi="Times New Roman" w:cs="Arial Unicode MS"/>
      <w:color w:val="000000"/>
      <w:sz w:val="24"/>
      <w:szCs w:val="24"/>
      <w:u w:color="000000"/>
      <w:bdr w:val="nil"/>
    </w:rPr>
  </w:style>
  <w:style w:type="paragraph" w:customStyle="1" w:styleId="Poromisin">
    <w:name w:val="Por omisión"/>
    <w:rsid w:val="00B416E4"/>
    <w:pPr>
      <w:pBdr>
        <w:top w:val="nil"/>
        <w:left w:val="nil"/>
        <w:bottom w:val="nil"/>
        <w:right w:val="nil"/>
        <w:between w:val="nil"/>
        <w:bar w:val="nil"/>
      </w:pBdr>
      <w:spacing w:line="240" w:lineRule="auto"/>
    </w:pPr>
    <w:rPr>
      <w:rFonts w:ascii="Helvetica Neue" w:eastAsia="Arial Unicode MS" w:hAnsi="Helvetica Neue" w:cs="Arial Unicode MS"/>
      <w:color w:val="000000"/>
      <w:u w:color="000000"/>
      <w:bdr w:val="nil"/>
    </w:rPr>
  </w:style>
  <w:style w:type="character" w:customStyle="1" w:styleId="Hyperlink1">
    <w:name w:val="Hyperlink.1"/>
    <w:basedOn w:val="Ninguno"/>
    <w:rsid w:val="00B416E4"/>
    <w:rPr>
      <w:rFonts w:ascii="Trebuchet MS" w:eastAsia="Trebuchet MS" w:hAnsi="Trebuchet MS" w:cs="Trebuchet MS"/>
      <w:color w:val="0000FF"/>
      <w:u w:val="single" w:color="0000FF"/>
      <w:lang w:val="it-IT"/>
    </w:rPr>
  </w:style>
  <w:style w:type="character" w:customStyle="1" w:styleId="Hyperlink2">
    <w:name w:val="Hyperlink.2"/>
    <w:basedOn w:val="Ninguno"/>
    <w:rsid w:val="00B416E4"/>
    <w:rPr>
      <w:rFonts w:ascii="Trebuchet MS" w:eastAsia="Trebuchet MS" w:hAnsi="Trebuchet MS" w:cs="Trebuchet MS"/>
      <w:color w:val="0000FF"/>
      <w:u w:val="single" w:color="0000FF"/>
      <w:lang w:val="pt-PT"/>
    </w:rPr>
  </w:style>
  <w:style w:type="paragraph" w:styleId="NormalWeb">
    <w:name w:val="Normal (Web)"/>
    <w:basedOn w:val="Normal"/>
    <w:uiPriority w:val="99"/>
    <w:unhideWhenUsed/>
    <w:rsid w:val="00B416E4"/>
    <w:pPr>
      <w:spacing w:before="100" w:beforeAutospacing="1" w:after="100" w:afterAutospacing="1" w:line="240" w:lineRule="auto"/>
    </w:pPr>
    <w:rPr>
      <w:rFonts w:ascii="Times New Roman" w:eastAsia="Times New Roman" w:hAnsi="Times New Roman" w:cs="Times New Roman"/>
      <w:sz w:val="24"/>
      <w:szCs w:val="24"/>
      <w:lang w:val="es-ES"/>
    </w:rPr>
  </w:style>
  <w:style w:type="paragraph" w:styleId="Prrafodelista">
    <w:name w:val="List Paragraph"/>
    <w:basedOn w:val="Normal"/>
    <w:uiPriority w:val="34"/>
    <w:qFormat/>
    <w:rsid w:val="00AF7268"/>
    <w:pPr>
      <w:spacing w:line="240" w:lineRule="auto"/>
      <w:ind w:left="720"/>
      <w:contextualSpacing/>
    </w:pPr>
    <w:rPr>
      <w:rFonts w:asciiTheme="minorHAnsi" w:eastAsiaTheme="minorHAnsi" w:hAnsiTheme="minorHAnsi" w:cstheme="minorBidi"/>
      <w:sz w:val="24"/>
      <w:szCs w:val="24"/>
      <w:lang w:val="es-ES" w:eastAsia="en-US"/>
    </w:rPr>
  </w:style>
  <w:style w:type="paragraph" w:styleId="Revisin">
    <w:name w:val="Revision"/>
    <w:hidden/>
    <w:uiPriority w:val="99"/>
    <w:semiHidden/>
    <w:rsid w:val="00A60A3E"/>
    <w:pPr>
      <w:spacing w:line="240" w:lineRule="auto"/>
    </w:pPr>
  </w:style>
  <w:style w:type="paragraph" w:styleId="Encabezado">
    <w:name w:val="header"/>
    <w:basedOn w:val="Normal"/>
    <w:link w:val="EncabezadoCar"/>
    <w:uiPriority w:val="99"/>
    <w:unhideWhenUsed/>
    <w:rsid w:val="00ED6065"/>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D6065"/>
  </w:style>
  <w:style w:type="paragraph" w:styleId="Piedepgina">
    <w:name w:val="footer"/>
    <w:basedOn w:val="Normal"/>
    <w:link w:val="PiedepginaCar"/>
    <w:uiPriority w:val="99"/>
    <w:unhideWhenUsed/>
    <w:rsid w:val="00ED6065"/>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D6065"/>
  </w:style>
  <w:style w:type="character" w:styleId="Mencinsinresolver">
    <w:name w:val="Unresolved Mention"/>
    <w:basedOn w:val="Fuentedeprrafopredeter"/>
    <w:uiPriority w:val="99"/>
    <w:semiHidden/>
    <w:unhideWhenUsed/>
    <w:rsid w:val="00055694"/>
    <w:rPr>
      <w:color w:val="605E5C"/>
      <w:shd w:val="clear" w:color="auto" w:fill="E1DFDD"/>
    </w:rPr>
  </w:style>
  <w:style w:type="character" w:styleId="Textoennegrita">
    <w:name w:val="Strong"/>
    <w:basedOn w:val="Fuentedeprrafopredeter"/>
    <w:uiPriority w:val="22"/>
    <w:qFormat/>
    <w:rsid w:val="003E7AF1"/>
    <w:rPr>
      <w:b/>
      <w:bCs/>
    </w:rPr>
  </w:style>
  <w:style w:type="paragraph" w:customStyle="1" w:styleId="Default">
    <w:name w:val="Default"/>
    <w:rsid w:val="003E7AF1"/>
    <w:pPr>
      <w:autoSpaceDE w:val="0"/>
      <w:autoSpaceDN w:val="0"/>
      <w:adjustRightInd w:val="0"/>
      <w:spacing w:line="240" w:lineRule="auto"/>
    </w:pPr>
    <w:rPr>
      <w:rFonts w:eastAsiaTheme="minorHAnsi"/>
      <w:color w:val="000000"/>
      <w:sz w:val="24"/>
      <w:szCs w:val="24"/>
      <w:lang w:val="ca-ES" w:eastAsia="en-US"/>
    </w:rPr>
  </w:style>
  <w:style w:type="character" w:styleId="Hipervnculovisitado">
    <w:name w:val="FollowedHyperlink"/>
    <w:basedOn w:val="Fuentedeprrafopredeter"/>
    <w:uiPriority w:val="99"/>
    <w:semiHidden/>
    <w:unhideWhenUsed/>
    <w:rsid w:val="00F21A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na.gomez@mediadores.inf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gr1RPuYLmIibPD/I8rU4JQebsQ==">AMUW2mUY87n9VFkTHLy/7sJaTcelAvIDB0bjoOq1IncW894bd+yk62uI1v/8f0DUVWhj0dLxLJ1+BIULMtsVN7WyOkzC7amEyI6Uiz2Fhurv4YKqYOkis9sWfxF1gVltDVK8/F75WvII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4044</Characters>
  <Application>Microsoft Office Word</Application>
  <DocSecurity>0</DocSecurity>
  <Lines>33</Lines>
  <Paragraphs>9</Paragraphs>
  <ScaleCrop>false</ScaleCrop>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Aurora Ochoa</dc:creator>
  <cp:lastModifiedBy>Aurora Ochoa</cp:lastModifiedBy>
  <cp:revision>3</cp:revision>
  <dcterms:created xsi:type="dcterms:W3CDTF">2021-04-21T18:56:00Z</dcterms:created>
  <dcterms:modified xsi:type="dcterms:W3CDTF">2021-04-21T18:57:00Z</dcterms:modified>
</cp:coreProperties>
</file>